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jc w:val="center"/>
        <w:rPr>
          <w:rFonts w:ascii="方正小标宋_GBK" w:hAnsi="黑体" w:eastAsia="方正小标宋_GBK" w:cs="黑体"/>
          <w:b/>
          <w:color w:val="000000"/>
          <w:sz w:val="36"/>
          <w:szCs w:val="36"/>
        </w:rPr>
      </w:pPr>
      <w:r>
        <w:rPr>
          <w:rFonts w:hint="eastAsia" w:ascii="方正小标宋_GBK" w:hAnsi="黑体" w:eastAsia="方正小标宋_GBK" w:cs="黑体"/>
          <w:b/>
          <w:color w:val="000000"/>
          <w:sz w:val="36"/>
          <w:szCs w:val="36"/>
        </w:rPr>
        <w:t>蚌埠市第一人民医院劳务派遣人员招聘公告</w:t>
      </w:r>
    </w:p>
    <w:p>
      <w:pPr>
        <w:widowControl/>
        <w:spacing w:line="480" w:lineRule="exact"/>
        <w:ind w:firstLine="880" w:firstLineChars="200"/>
        <w:jc w:val="left"/>
        <w:rPr>
          <w:rFonts w:hint="eastAsia" w:ascii="方正小标宋_GBK" w:hAnsi="仿宋_GB2312" w:eastAsia="方正小标宋_GBK" w:cs="仿宋_GB2312"/>
          <w:color w:val="000000"/>
          <w:sz w:val="44"/>
          <w:szCs w:val="44"/>
        </w:rPr>
      </w:pPr>
    </w:p>
    <w:p>
      <w:pPr>
        <w:pStyle w:val="4"/>
        <w:widowControl/>
        <w:spacing w:beforeAutospacing="0" w:afterAutospacing="0" w:line="480" w:lineRule="exact"/>
        <w:ind w:firstLine="638" w:firstLineChars="228"/>
        <w:rPr>
          <w:rFonts w:ascii="仿宋" w:hAnsi="仿宋" w:eastAsia="仿宋" w:cs="仿宋_GB2312"/>
          <w:color w:val="000000"/>
          <w:sz w:val="28"/>
          <w:szCs w:val="28"/>
        </w:rPr>
      </w:pPr>
      <w:r>
        <w:rPr>
          <w:rFonts w:hint="eastAsia" w:ascii="仿宋" w:hAnsi="仿宋" w:eastAsia="仿宋" w:cs="仿宋_GB2312"/>
          <w:color w:val="000000"/>
          <w:sz w:val="28"/>
          <w:szCs w:val="28"/>
        </w:rPr>
        <w:t>根据蚌埠市第一人民医院工作需要，现委托安徽昱达人力资源开发有限公司面向社会公开招聘派遣制工作人员。</w:t>
      </w:r>
    </w:p>
    <w:p>
      <w:pPr>
        <w:pStyle w:val="4"/>
        <w:widowControl/>
        <w:spacing w:beforeAutospacing="0" w:afterAutospacing="0" w:line="480" w:lineRule="exact"/>
        <w:ind w:firstLine="563"/>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一、招聘原则</w:t>
      </w:r>
    </w:p>
    <w:p>
      <w:pPr>
        <w:pStyle w:val="4"/>
        <w:widowControl/>
        <w:spacing w:beforeAutospacing="0" w:afterAutospacing="0" w:line="4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1、坚持面向社会、公开招聘。</w:t>
      </w:r>
    </w:p>
    <w:p>
      <w:pPr>
        <w:pStyle w:val="4"/>
        <w:widowControl/>
        <w:spacing w:beforeAutospacing="0" w:afterAutospacing="0" w:line="4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2、坚持考试考察、择优聘用。</w:t>
      </w:r>
    </w:p>
    <w:p>
      <w:pPr>
        <w:pStyle w:val="4"/>
        <w:widowControl/>
        <w:spacing w:beforeAutospacing="0" w:afterAutospacing="0" w:line="480" w:lineRule="exact"/>
        <w:ind w:firstLine="563"/>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二、招聘岗位及要求</w:t>
      </w:r>
    </w:p>
    <w:p>
      <w:pPr>
        <w:pStyle w:val="4"/>
        <w:widowControl/>
        <w:spacing w:beforeAutospacing="0" w:afterAutospacing="0" w:line="480" w:lineRule="exact"/>
        <w:ind w:firstLine="563"/>
        <w:rPr>
          <w:rFonts w:ascii="仿宋_GB2312" w:hAnsi="仿宋_GB2312" w:eastAsia="仿宋_GB2312" w:cs="仿宋_GB2312"/>
          <w:b/>
          <w:color w:val="000000"/>
          <w:sz w:val="28"/>
          <w:szCs w:val="28"/>
        </w:rPr>
      </w:pPr>
    </w:p>
    <w:tbl>
      <w:tblPr>
        <w:tblStyle w:val="5"/>
        <w:tblW w:w="11280" w:type="dxa"/>
        <w:jc w:val="center"/>
        <w:tblLayout w:type="autofit"/>
        <w:tblCellMar>
          <w:top w:w="0" w:type="dxa"/>
          <w:left w:w="108" w:type="dxa"/>
          <w:bottom w:w="0" w:type="dxa"/>
          <w:right w:w="108" w:type="dxa"/>
        </w:tblCellMar>
      </w:tblPr>
      <w:tblGrid>
        <w:gridCol w:w="500"/>
        <w:gridCol w:w="1000"/>
        <w:gridCol w:w="1040"/>
        <w:gridCol w:w="1074"/>
        <w:gridCol w:w="708"/>
        <w:gridCol w:w="1458"/>
        <w:gridCol w:w="1220"/>
        <w:gridCol w:w="1360"/>
        <w:gridCol w:w="2920"/>
      </w:tblGrid>
      <w:tr>
        <w:tblPrEx>
          <w:tblCellMar>
            <w:top w:w="0" w:type="dxa"/>
            <w:left w:w="108" w:type="dxa"/>
            <w:bottom w:w="0" w:type="dxa"/>
            <w:right w:w="108" w:type="dxa"/>
          </w:tblCellMar>
        </w:tblPrEx>
        <w:trPr>
          <w:trHeight w:val="720" w:hRule="atLeast"/>
          <w:jc w:val="center"/>
        </w:trPr>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类别</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科室</w:t>
            </w:r>
          </w:p>
        </w:tc>
        <w:tc>
          <w:tcPr>
            <w:tcW w:w="10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岗位</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需求</w:t>
            </w:r>
          </w:p>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人数</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专业</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学历</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年龄</w:t>
            </w:r>
          </w:p>
        </w:tc>
        <w:tc>
          <w:tcPr>
            <w:tcW w:w="2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岗位要求</w:t>
            </w:r>
          </w:p>
        </w:tc>
      </w:tr>
      <w:tr>
        <w:tblPrEx>
          <w:tblCellMar>
            <w:top w:w="0" w:type="dxa"/>
            <w:left w:w="108" w:type="dxa"/>
            <w:bottom w:w="0" w:type="dxa"/>
            <w:right w:w="108" w:type="dxa"/>
          </w:tblCellMar>
        </w:tblPrEx>
        <w:trPr>
          <w:trHeight w:val="76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卫生类</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内镜中心</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内镜洗消员</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themeColor="text1"/>
                <w:kern w:val="0"/>
                <w:sz w:val="20"/>
                <w:szCs w:val="20"/>
                <w14:textFill>
                  <w14:solidFill>
                    <w14:schemeClr w14:val="tx1"/>
                  </w14:solidFill>
                </w14:textFill>
              </w:rPr>
            </w:pPr>
            <w:r>
              <w:rPr>
                <w:rFonts w:ascii="Calibri" w:hAnsi="Calibri" w:eastAsia="宋体" w:cs="Calibri"/>
                <w:color w:val="000000" w:themeColor="text1"/>
                <w:kern w:val="0"/>
                <w:sz w:val="20"/>
                <w:szCs w:val="20"/>
                <w14:textFill>
                  <w14:solidFill>
                    <w14:schemeClr w14:val="tx1"/>
                  </w14:solidFill>
                </w14:textFill>
              </w:rPr>
              <w:t>2</w:t>
            </w:r>
          </w:p>
        </w:tc>
        <w:tc>
          <w:tcPr>
            <w:tcW w:w="1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医学相关专业</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中专及以上</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35周岁及以下</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具有护士及以上职称优先</w:t>
            </w:r>
          </w:p>
        </w:tc>
      </w:tr>
      <w:tr>
        <w:tblPrEx>
          <w:tblCellMar>
            <w:top w:w="0" w:type="dxa"/>
            <w:left w:w="108" w:type="dxa"/>
            <w:bottom w:w="0" w:type="dxa"/>
            <w:right w:w="108" w:type="dxa"/>
          </w:tblCellMar>
        </w:tblPrEx>
        <w:trPr>
          <w:trHeight w:val="930" w:hRule="atLeast"/>
          <w:jc w:val="center"/>
        </w:trPr>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1000" w:type="dxa"/>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卫生类</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药学部</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药师</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themeColor="text1"/>
                <w:kern w:val="0"/>
                <w:sz w:val="20"/>
                <w:szCs w:val="20"/>
                <w14:textFill>
                  <w14:solidFill>
                    <w14:schemeClr w14:val="tx1"/>
                  </w14:solidFill>
                </w14:textFill>
              </w:rPr>
            </w:pPr>
            <w:r>
              <w:rPr>
                <w:rFonts w:ascii="Calibri" w:hAnsi="Calibri" w:eastAsia="宋体" w:cs="Calibri"/>
                <w:color w:val="000000" w:themeColor="text1"/>
                <w:kern w:val="0"/>
                <w:sz w:val="20"/>
                <w:szCs w:val="20"/>
                <w14:textFill>
                  <w14:solidFill>
                    <w14:schemeClr w14:val="tx1"/>
                  </w14:solidFill>
                </w14:textFill>
              </w:rPr>
              <w:t>4</w:t>
            </w:r>
          </w:p>
        </w:tc>
        <w:tc>
          <w:tcPr>
            <w:tcW w:w="1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药学</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专科及以上</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35周岁及以下</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具有药师及以上职称</w:t>
            </w:r>
          </w:p>
        </w:tc>
      </w:tr>
      <w:tr>
        <w:tblPrEx>
          <w:tblCellMar>
            <w:top w:w="0" w:type="dxa"/>
            <w:left w:w="108" w:type="dxa"/>
            <w:bottom w:w="0" w:type="dxa"/>
            <w:right w:w="108" w:type="dxa"/>
          </w:tblCellMar>
        </w:tblPrEx>
        <w:trPr>
          <w:trHeight w:val="675" w:hRule="atLeast"/>
          <w:jc w:val="center"/>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100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中药师</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themeColor="text1"/>
                <w:kern w:val="0"/>
                <w:sz w:val="20"/>
                <w:szCs w:val="20"/>
                <w14:textFill>
                  <w14:solidFill>
                    <w14:schemeClr w14:val="tx1"/>
                  </w14:solidFill>
                </w14:textFill>
              </w:rPr>
            </w:pPr>
            <w:r>
              <w:rPr>
                <w:rFonts w:ascii="Calibri" w:hAnsi="Calibri" w:eastAsia="宋体" w:cs="Calibri"/>
                <w:color w:val="000000" w:themeColor="text1"/>
                <w:kern w:val="0"/>
                <w:sz w:val="20"/>
                <w:szCs w:val="20"/>
                <w14:textFill>
                  <w14:solidFill>
                    <w14:schemeClr w14:val="tx1"/>
                  </w14:solidFill>
                </w14:textFill>
              </w:rPr>
              <w:t>1</w:t>
            </w:r>
          </w:p>
        </w:tc>
        <w:tc>
          <w:tcPr>
            <w:tcW w:w="1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中药学</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专科及以上</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35周岁及以下</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具有中药师及以上职称</w:t>
            </w:r>
          </w:p>
        </w:tc>
      </w:tr>
      <w:tr>
        <w:tblPrEx>
          <w:tblCellMar>
            <w:top w:w="0" w:type="dxa"/>
            <w:left w:w="108" w:type="dxa"/>
            <w:bottom w:w="0" w:type="dxa"/>
            <w:right w:w="108" w:type="dxa"/>
          </w:tblCellMar>
        </w:tblPrEx>
        <w:trPr>
          <w:trHeight w:val="1680" w:hRule="atLeast"/>
          <w:jc w:val="center"/>
        </w:trPr>
        <w:tc>
          <w:tcPr>
            <w:tcW w:w="50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1000" w:type="dxa"/>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卫生类</w:t>
            </w:r>
          </w:p>
          <w:p>
            <w:pPr>
              <w:jc w:val="center"/>
              <w:rPr>
                <w:rFonts w:ascii="宋体" w:hAnsi="宋体" w:eastAsia="宋体" w:cs="宋体"/>
                <w:color w:val="000000" w:themeColor="text1"/>
                <w:kern w:val="0"/>
                <w:sz w:val="20"/>
                <w:szCs w:val="20"/>
                <w14:textFill>
                  <w14:solidFill>
                    <w14:schemeClr w14:val="tx1"/>
                  </w14:solidFill>
                </w14:textFill>
              </w:rPr>
            </w:pPr>
          </w:p>
        </w:tc>
        <w:tc>
          <w:tcPr>
            <w:tcW w:w="10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健康</w:t>
            </w:r>
            <w:r>
              <w:rPr>
                <w:rFonts w:hint="eastAsia" w:ascii="宋体" w:hAnsi="宋体" w:eastAsia="宋体" w:cs="宋体"/>
                <w:color w:val="000000" w:themeColor="text1"/>
                <w:kern w:val="0"/>
                <w:sz w:val="20"/>
                <w:szCs w:val="20"/>
                <w14:textFill>
                  <w14:solidFill>
                    <w14:schemeClr w14:val="tx1"/>
                  </w14:solidFill>
                </w14:textFill>
              </w:rPr>
              <w:t>管理中心</w:t>
            </w: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技术专员</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themeColor="text1"/>
                <w:kern w:val="0"/>
                <w:sz w:val="20"/>
                <w:szCs w:val="20"/>
                <w14:textFill>
                  <w14:solidFill>
                    <w14:schemeClr w14:val="tx1"/>
                  </w14:solidFill>
                </w14:textFill>
              </w:rPr>
            </w:pPr>
            <w:r>
              <w:rPr>
                <w:rFonts w:ascii="Calibri" w:hAnsi="Calibri" w:eastAsia="宋体" w:cs="Calibri"/>
                <w:color w:val="000000" w:themeColor="text1"/>
                <w:kern w:val="0"/>
                <w:sz w:val="20"/>
                <w:szCs w:val="20"/>
                <w14:textFill>
                  <w14:solidFill>
                    <w14:schemeClr w14:val="tx1"/>
                  </w14:solidFill>
                </w14:textFill>
              </w:rPr>
              <w:t>1</w:t>
            </w:r>
          </w:p>
        </w:tc>
        <w:tc>
          <w:tcPr>
            <w:tcW w:w="1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护理学</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本科及以上</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themeColor="text1"/>
                <w:kern w:val="0"/>
                <w:sz w:val="20"/>
                <w:szCs w:val="20"/>
                <w14:textFill>
                  <w14:solidFill>
                    <w14:schemeClr w14:val="tx1"/>
                  </w14:solidFill>
                </w14:textFill>
              </w:rPr>
            </w:pPr>
            <w:r>
              <w:rPr>
                <w:rFonts w:ascii="Calibri" w:hAnsi="Calibri" w:eastAsia="宋体" w:cs="Calibri"/>
                <w:color w:val="000000" w:themeColor="text1"/>
                <w:kern w:val="0"/>
                <w:sz w:val="20"/>
                <w:szCs w:val="20"/>
                <w14:textFill>
                  <w14:solidFill>
                    <w14:schemeClr w14:val="tx1"/>
                  </w14:solidFill>
                </w14:textFill>
              </w:rPr>
              <w:t>35</w:t>
            </w:r>
            <w:r>
              <w:rPr>
                <w:rFonts w:hint="eastAsia" w:ascii="宋体" w:hAnsi="宋体" w:eastAsia="宋体" w:cs="Calibri"/>
                <w:color w:val="000000" w:themeColor="text1"/>
                <w:kern w:val="0"/>
                <w:sz w:val="20"/>
                <w:szCs w:val="20"/>
                <w14:textFill>
                  <w14:solidFill>
                    <w14:schemeClr w14:val="tx1"/>
                  </w14:solidFill>
                </w14:textFill>
              </w:rPr>
              <w:t>周岁及以下</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女性优先，具有护理学中级及以上职称及放射医学技术资格证，有较强服务意识</w:t>
            </w:r>
          </w:p>
        </w:tc>
      </w:tr>
      <w:tr>
        <w:tblPrEx>
          <w:tblCellMar>
            <w:top w:w="0" w:type="dxa"/>
            <w:left w:w="108" w:type="dxa"/>
            <w:bottom w:w="0" w:type="dxa"/>
            <w:right w:w="108" w:type="dxa"/>
          </w:tblCellMar>
        </w:tblPrEx>
        <w:trPr>
          <w:trHeight w:val="1260" w:hRule="atLeast"/>
          <w:jc w:val="center"/>
        </w:trPr>
        <w:tc>
          <w:tcPr>
            <w:tcW w:w="50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1000" w:type="dxa"/>
            <w:vMerge w:val="continue"/>
            <w:tcBorders>
              <w:left w:val="nil"/>
              <w:right w:val="single" w:color="auto" w:sz="4" w:space="0"/>
            </w:tcBorders>
            <w:shd w:val="clear" w:color="auto" w:fill="auto"/>
            <w:vAlign w:val="center"/>
          </w:tcPr>
          <w:p>
            <w:pPr>
              <w:jc w:val="center"/>
              <w:rPr>
                <w:rFonts w:ascii="宋体" w:hAnsi="宋体" w:eastAsia="宋体" w:cs="宋体"/>
                <w:color w:val="000000" w:themeColor="text1"/>
                <w:kern w:val="0"/>
                <w:sz w:val="20"/>
                <w:szCs w:val="20"/>
                <w14:textFill>
                  <w14:solidFill>
                    <w14:schemeClr w14:val="tx1"/>
                  </w14:solidFill>
                </w14:textFill>
              </w:rPr>
            </w:pPr>
          </w:p>
        </w:tc>
        <w:tc>
          <w:tcPr>
            <w:tcW w:w="1040"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kern w:val="0"/>
                <w:sz w:val="20"/>
                <w:szCs w:val="20"/>
                <w14:textFill>
                  <w14:solidFill>
                    <w14:schemeClr w14:val="tx1"/>
                  </w14:solidFill>
                </w14:textFill>
              </w:rPr>
            </w:pP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健康专员</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themeColor="text1"/>
                <w:kern w:val="0"/>
                <w:sz w:val="20"/>
                <w:szCs w:val="20"/>
                <w14:textFill>
                  <w14:solidFill>
                    <w14:schemeClr w14:val="tx1"/>
                  </w14:solidFill>
                </w14:textFill>
              </w:rPr>
            </w:pPr>
            <w:r>
              <w:rPr>
                <w:rFonts w:ascii="Calibri" w:hAnsi="Calibri" w:eastAsia="宋体" w:cs="Calibri"/>
                <w:color w:val="000000" w:themeColor="text1"/>
                <w:kern w:val="0"/>
                <w:sz w:val="20"/>
                <w:szCs w:val="20"/>
                <w14:textFill>
                  <w14:solidFill>
                    <w14:schemeClr w14:val="tx1"/>
                  </w14:solidFill>
                </w14:textFill>
              </w:rPr>
              <w:t>2</w:t>
            </w:r>
          </w:p>
        </w:tc>
        <w:tc>
          <w:tcPr>
            <w:tcW w:w="1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健康服务与管理、医学相关专业</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本科及以上</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themeColor="text1"/>
                <w:kern w:val="0"/>
                <w:sz w:val="20"/>
                <w:szCs w:val="20"/>
                <w14:textFill>
                  <w14:solidFill>
                    <w14:schemeClr w14:val="tx1"/>
                  </w14:solidFill>
                </w14:textFill>
              </w:rPr>
            </w:pPr>
            <w:r>
              <w:rPr>
                <w:rFonts w:ascii="Calibri" w:hAnsi="Calibri" w:eastAsia="宋体" w:cs="Calibri"/>
                <w:color w:val="000000" w:themeColor="text1"/>
                <w:kern w:val="0"/>
                <w:sz w:val="20"/>
                <w:szCs w:val="20"/>
                <w14:textFill>
                  <w14:solidFill>
                    <w14:schemeClr w14:val="tx1"/>
                  </w14:solidFill>
                </w14:textFill>
              </w:rPr>
              <w:t>30</w:t>
            </w:r>
            <w:r>
              <w:rPr>
                <w:rFonts w:hint="eastAsia" w:ascii="宋体" w:hAnsi="宋体" w:eastAsia="宋体" w:cs="Calibri"/>
                <w:color w:val="000000" w:themeColor="text1"/>
                <w:kern w:val="0"/>
                <w:sz w:val="20"/>
                <w:szCs w:val="20"/>
                <w14:textFill>
                  <w14:solidFill>
                    <w14:schemeClr w14:val="tx1"/>
                  </w14:solidFill>
                </w14:textFill>
              </w:rPr>
              <w:t>周岁及以下</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具有市场营销思维，较好的市场竞争意识，较强的协调组织能力，较好的健康服务意识</w:t>
            </w:r>
          </w:p>
        </w:tc>
      </w:tr>
      <w:tr>
        <w:tblPrEx>
          <w:tblCellMar>
            <w:top w:w="0" w:type="dxa"/>
            <w:left w:w="108" w:type="dxa"/>
            <w:bottom w:w="0" w:type="dxa"/>
            <w:right w:w="108" w:type="dxa"/>
          </w:tblCellMar>
        </w:tblPrEx>
        <w:trPr>
          <w:trHeight w:val="1260" w:hRule="atLeast"/>
          <w:jc w:val="center"/>
        </w:trPr>
        <w:tc>
          <w:tcPr>
            <w:tcW w:w="500" w:type="dxa"/>
            <w:vMerge w:val="continue"/>
            <w:tcBorders>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kern w:val="0"/>
                <w:sz w:val="20"/>
                <w:szCs w:val="20"/>
                <w14:textFill>
                  <w14:solidFill>
                    <w14:schemeClr w14:val="tx1"/>
                  </w14:solidFill>
                </w14:textFill>
              </w:rPr>
            </w:pPr>
          </w:p>
        </w:tc>
        <w:tc>
          <w:tcPr>
            <w:tcW w:w="100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4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10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视光师</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themeColor="text1"/>
                <w:kern w:val="0"/>
                <w:sz w:val="20"/>
                <w:szCs w:val="20"/>
                <w14:textFill>
                  <w14:solidFill>
                    <w14:schemeClr w14:val="tx1"/>
                  </w14:solidFill>
                </w14:textFill>
              </w:rPr>
            </w:pPr>
            <w:r>
              <w:rPr>
                <w:rFonts w:ascii="Calibri" w:hAnsi="Calibri" w:eastAsia="宋体" w:cs="Calibri"/>
                <w:color w:val="000000" w:themeColor="text1"/>
                <w:kern w:val="0"/>
                <w:sz w:val="20"/>
                <w:szCs w:val="20"/>
                <w14:textFill>
                  <w14:solidFill>
                    <w14:schemeClr w14:val="tx1"/>
                  </w14:solidFill>
                </w14:textFill>
              </w:rPr>
              <w:t>1</w:t>
            </w:r>
          </w:p>
        </w:tc>
        <w:tc>
          <w:tcPr>
            <w:tcW w:w="1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眼视光技术</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大专及以上</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themeColor="text1"/>
                <w:kern w:val="0"/>
                <w:sz w:val="20"/>
                <w:szCs w:val="20"/>
                <w14:textFill>
                  <w14:solidFill>
                    <w14:schemeClr w14:val="tx1"/>
                  </w14:solidFill>
                </w14:textFill>
              </w:rPr>
            </w:pPr>
            <w:r>
              <w:rPr>
                <w:rFonts w:ascii="Calibri" w:hAnsi="Calibri" w:eastAsia="宋体" w:cs="Calibri"/>
                <w:color w:val="000000" w:themeColor="text1"/>
                <w:kern w:val="0"/>
                <w:sz w:val="20"/>
                <w:szCs w:val="20"/>
                <w14:textFill>
                  <w14:solidFill>
                    <w14:schemeClr w14:val="tx1"/>
                  </w14:solidFill>
                </w14:textFill>
              </w:rPr>
              <w:t>25</w:t>
            </w:r>
            <w:r>
              <w:rPr>
                <w:rFonts w:hint="eastAsia" w:ascii="宋体" w:hAnsi="宋体" w:eastAsia="宋体" w:cs="Calibri"/>
                <w:color w:val="000000" w:themeColor="text1"/>
                <w:kern w:val="0"/>
                <w:sz w:val="20"/>
                <w:szCs w:val="20"/>
                <w14:textFill>
                  <w14:solidFill>
                    <w14:schemeClr w14:val="tx1"/>
                  </w14:solidFill>
                </w14:textFill>
              </w:rPr>
              <w:t>周岁及以下</w:t>
            </w:r>
          </w:p>
        </w:tc>
        <w:tc>
          <w:tcPr>
            <w:tcW w:w="2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具备公立医院实习经历者优先，具有较强的语言沟通能力和团队协作精神</w:t>
            </w:r>
          </w:p>
        </w:tc>
      </w:tr>
      <w:tr>
        <w:tblPrEx>
          <w:tblCellMar>
            <w:top w:w="0" w:type="dxa"/>
            <w:left w:w="108" w:type="dxa"/>
            <w:bottom w:w="0" w:type="dxa"/>
            <w:right w:w="108" w:type="dxa"/>
          </w:tblCellMar>
        </w:tblPrEx>
        <w:trPr>
          <w:trHeight w:val="660" w:hRule="atLeast"/>
          <w:jc w:val="center"/>
        </w:trPr>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4</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卫生类</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手术室</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转运护士</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护理学</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中专及以上</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themeColor="text1"/>
                <w:kern w:val="0"/>
                <w:sz w:val="20"/>
                <w:szCs w:val="20"/>
                <w14:textFill>
                  <w14:solidFill>
                    <w14:schemeClr w14:val="tx1"/>
                  </w14:solidFill>
                </w14:textFill>
              </w:rPr>
            </w:pPr>
            <w:r>
              <w:rPr>
                <w:rFonts w:ascii="Calibri" w:hAnsi="Calibri" w:eastAsia="宋体" w:cs="Calibri"/>
                <w:color w:val="000000" w:themeColor="text1"/>
                <w:kern w:val="0"/>
                <w:sz w:val="20"/>
                <w:szCs w:val="20"/>
                <w14:textFill>
                  <w14:solidFill>
                    <w14:schemeClr w14:val="tx1"/>
                  </w14:solidFill>
                </w14:textFill>
              </w:rPr>
              <w:t>30</w:t>
            </w:r>
            <w:r>
              <w:rPr>
                <w:rFonts w:hint="eastAsia" w:ascii="宋体" w:hAnsi="宋体" w:eastAsia="宋体" w:cs="Calibri"/>
                <w:color w:val="000000" w:themeColor="text1"/>
                <w:kern w:val="0"/>
                <w:sz w:val="20"/>
                <w:szCs w:val="20"/>
                <w14:textFill>
                  <w14:solidFill>
                    <w14:schemeClr w14:val="tx1"/>
                  </w14:solidFill>
                </w14:textFill>
              </w:rPr>
              <w:t>周岁及以下</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具有较强的沟通能力</w:t>
            </w:r>
          </w:p>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和良好身体素质</w:t>
            </w:r>
          </w:p>
        </w:tc>
      </w:tr>
      <w:tr>
        <w:tblPrEx>
          <w:tblCellMar>
            <w:top w:w="0" w:type="dxa"/>
            <w:left w:w="108" w:type="dxa"/>
            <w:bottom w:w="0" w:type="dxa"/>
            <w:right w:w="108" w:type="dxa"/>
          </w:tblCellMar>
        </w:tblPrEx>
        <w:trPr>
          <w:trHeight w:val="1215" w:hRule="atLeast"/>
          <w:jc w:val="center"/>
        </w:trPr>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5</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卫生类</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门诊志愿</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服务队</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导医台工作人员</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kern w:val="0"/>
                <w:sz w:val="20"/>
                <w:szCs w:val="20"/>
              </w:rPr>
            </w:pPr>
            <w:r>
              <w:rPr>
                <w:rFonts w:ascii="Calibri" w:hAnsi="Calibri" w:eastAsia="宋体" w:cs="Calibri"/>
                <w:kern w:val="0"/>
                <w:sz w:val="20"/>
                <w:szCs w:val="20"/>
              </w:rPr>
              <w:t>11</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color w:val="000000" w:themeColor="text1"/>
                <w:kern w:val="0"/>
                <w:sz w:val="20"/>
                <w:szCs w:val="20"/>
                <w14:textFill>
                  <w14:solidFill>
                    <w14:schemeClr w14:val="tx1"/>
                  </w14:solidFill>
                </w14:textFill>
              </w:rPr>
              <w:t>护理学</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中专及以上</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color w:val="000000" w:themeColor="text1"/>
                <w:kern w:val="0"/>
                <w:sz w:val="20"/>
                <w:szCs w:val="20"/>
                <w14:textFill>
                  <w14:solidFill>
                    <w14:schemeClr w14:val="tx1"/>
                  </w14:solidFill>
                </w14:textFill>
              </w:rPr>
              <w:t>25</w:t>
            </w:r>
            <w:r>
              <w:rPr>
                <w:rFonts w:hint="eastAsia" w:ascii="宋体" w:hAnsi="宋体" w:eastAsia="宋体" w:cs="宋体"/>
                <w:color w:val="000000" w:themeColor="text1"/>
                <w:kern w:val="0"/>
                <w:sz w:val="20"/>
                <w:szCs w:val="20"/>
                <w14:textFill>
                  <w14:solidFill>
                    <w14:schemeClr w14:val="tx1"/>
                  </w14:solidFill>
                </w14:textFill>
              </w:rPr>
              <w:t>周岁及以下</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女性，身高</w:t>
            </w:r>
            <w:r>
              <w:rPr>
                <w:rFonts w:ascii="Calibri" w:hAnsi="Calibri" w:eastAsia="宋体" w:cs="Calibri"/>
                <w:kern w:val="0"/>
                <w:sz w:val="20"/>
                <w:szCs w:val="20"/>
              </w:rPr>
              <w:t>160cm</w:t>
            </w:r>
            <w:r>
              <w:rPr>
                <w:rFonts w:hint="eastAsia" w:ascii="宋体" w:hAnsi="宋体" w:eastAsia="宋体" w:cs="宋体"/>
                <w:kern w:val="0"/>
                <w:sz w:val="20"/>
                <w:szCs w:val="20"/>
              </w:rPr>
              <w:t>以上，具有良好的形象气质及语言表达能力，能够熟练操作电脑及复印机</w:t>
            </w:r>
          </w:p>
        </w:tc>
      </w:tr>
      <w:tr>
        <w:tblPrEx>
          <w:tblCellMar>
            <w:top w:w="0" w:type="dxa"/>
            <w:left w:w="108" w:type="dxa"/>
            <w:bottom w:w="0" w:type="dxa"/>
            <w:right w:w="108" w:type="dxa"/>
          </w:tblCellMar>
        </w:tblPrEx>
        <w:trPr>
          <w:trHeight w:val="1140" w:hRule="atLeast"/>
          <w:jc w:val="center"/>
        </w:trPr>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6</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非卫生类</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医学装备工程部</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氧站运维人员</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kern w:val="0"/>
                <w:sz w:val="20"/>
                <w:szCs w:val="20"/>
              </w:rPr>
            </w:pPr>
            <w:r>
              <w:rPr>
                <w:rFonts w:ascii="Calibri" w:hAnsi="Calibri" w:eastAsia="宋体" w:cs="Calibri"/>
                <w:kern w:val="0"/>
                <w:sz w:val="20"/>
                <w:szCs w:val="20"/>
              </w:rPr>
              <w:t>1</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无</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高中及以上</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kern w:val="0"/>
                <w:sz w:val="20"/>
                <w:szCs w:val="20"/>
              </w:rPr>
            </w:pPr>
            <w:r>
              <w:rPr>
                <w:rFonts w:ascii="Calibri" w:hAnsi="Calibri" w:eastAsia="宋体" w:cs="Calibri"/>
                <w:kern w:val="0"/>
                <w:sz w:val="20"/>
                <w:szCs w:val="20"/>
              </w:rPr>
              <w:t>45</w:t>
            </w:r>
            <w:r>
              <w:rPr>
                <w:rFonts w:hint="eastAsia" w:ascii="宋体" w:hAnsi="宋体" w:eastAsia="宋体" w:cs="Calibri"/>
                <w:kern w:val="0"/>
                <w:sz w:val="20"/>
                <w:szCs w:val="20"/>
              </w:rPr>
              <w:t>周岁及以下</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持有特种设备安全管理人员证（A证），负责全院中心氧站日常管理、运行维护等工作</w:t>
            </w:r>
          </w:p>
        </w:tc>
      </w:tr>
      <w:tr>
        <w:tblPrEx>
          <w:tblCellMar>
            <w:top w:w="0" w:type="dxa"/>
            <w:left w:w="108" w:type="dxa"/>
            <w:bottom w:w="0" w:type="dxa"/>
            <w:right w:w="108" w:type="dxa"/>
          </w:tblCellMar>
        </w:tblPrEx>
        <w:trPr>
          <w:trHeight w:val="585" w:hRule="atLeast"/>
          <w:jc w:val="center"/>
        </w:trPr>
        <w:tc>
          <w:tcPr>
            <w:tcW w:w="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7</w:t>
            </w:r>
          </w:p>
        </w:tc>
        <w:tc>
          <w:tcPr>
            <w:tcW w:w="1000"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非卫生类</w:t>
            </w:r>
          </w:p>
        </w:tc>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消毒供</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应中心</w:t>
            </w:r>
          </w:p>
        </w:tc>
        <w:tc>
          <w:tcPr>
            <w:tcW w:w="10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消毒员</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kern w:val="0"/>
                <w:sz w:val="20"/>
                <w:szCs w:val="20"/>
              </w:rPr>
            </w:pPr>
            <w:r>
              <w:rPr>
                <w:rFonts w:ascii="Calibri" w:hAnsi="Calibri" w:eastAsia="宋体" w:cs="Calibri"/>
                <w:kern w:val="0"/>
                <w:sz w:val="20"/>
                <w:szCs w:val="20"/>
              </w:rPr>
              <w:t>2</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无</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高中及以上</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45周岁及以下</w:t>
            </w:r>
          </w:p>
        </w:tc>
        <w:tc>
          <w:tcPr>
            <w:tcW w:w="2920"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有“特种设备安全管理和作业人员操作证”的优先，无证人员须在2</w:t>
            </w:r>
            <w:r>
              <w:rPr>
                <w:rFonts w:ascii="宋体" w:hAnsi="宋体" w:eastAsia="宋体" w:cs="宋体"/>
                <w:color w:val="000000" w:themeColor="text1"/>
                <w:kern w:val="0"/>
                <w:sz w:val="20"/>
                <w:szCs w:val="20"/>
                <w14:textFill>
                  <w14:solidFill>
                    <w14:schemeClr w14:val="tx1"/>
                  </w14:solidFill>
                </w14:textFill>
              </w:rPr>
              <w:t>024年</w:t>
            </w:r>
            <w:r>
              <w:rPr>
                <w:rFonts w:hint="eastAsia" w:ascii="宋体" w:hAnsi="宋体" w:eastAsia="宋体" w:cs="宋体"/>
                <w:color w:val="000000" w:themeColor="text1"/>
                <w:kern w:val="0"/>
                <w:sz w:val="20"/>
                <w:szCs w:val="20"/>
                <w14:textFill>
                  <w14:solidFill>
                    <w14:schemeClr w14:val="tx1"/>
                  </w14:solidFill>
                </w14:textFill>
              </w:rPr>
              <w:t>1</w:t>
            </w:r>
            <w:r>
              <w:rPr>
                <w:rFonts w:ascii="宋体" w:hAnsi="宋体" w:eastAsia="宋体" w:cs="宋体"/>
                <w:color w:val="000000" w:themeColor="text1"/>
                <w:kern w:val="0"/>
                <w:sz w:val="20"/>
                <w:szCs w:val="20"/>
                <w14:textFill>
                  <w14:solidFill>
                    <w14:schemeClr w14:val="tx1"/>
                  </w14:solidFill>
                </w14:textFill>
              </w:rPr>
              <w:t>2月</w:t>
            </w:r>
            <w:r>
              <w:rPr>
                <w:rFonts w:hint="eastAsia" w:ascii="宋体" w:hAnsi="宋体" w:eastAsia="宋体" w:cs="宋体"/>
                <w:color w:val="000000" w:themeColor="text1"/>
                <w:kern w:val="0"/>
                <w:sz w:val="20"/>
                <w:szCs w:val="20"/>
                <w14:textFill>
                  <w14:solidFill>
                    <w14:schemeClr w14:val="tx1"/>
                  </w14:solidFill>
                </w14:textFill>
              </w:rPr>
              <w:t>底</w:t>
            </w:r>
            <w:r>
              <w:rPr>
                <w:rFonts w:ascii="宋体" w:hAnsi="宋体" w:eastAsia="宋体" w:cs="宋体"/>
                <w:color w:val="000000" w:themeColor="text1"/>
                <w:kern w:val="0"/>
                <w:sz w:val="20"/>
                <w:szCs w:val="20"/>
                <w14:textFill>
                  <w14:solidFill>
                    <w14:schemeClr w14:val="tx1"/>
                  </w14:solidFill>
                </w14:textFill>
              </w:rPr>
              <w:t>之前取得相关操作证</w:t>
            </w:r>
            <w:r>
              <w:rPr>
                <w:rFonts w:hint="eastAsia" w:ascii="宋体" w:hAnsi="宋体" w:eastAsia="宋体" w:cs="宋体"/>
                <w:color w:val="000000" w:themeColor="text1"/>
                <w:kern w:val="0"/>
                <w:sz w:val="20"/>
                <w:szCs w:val="20"/>
                <w14:textFill>
                  <w14:solidFill>
                    <w14:schemeClr w14:val="tx1"/>
                  </w14:solidFill>
                </w14:textFill>
              </w:rPr>
              <w:t>，若无法按时取得操作证者，</w:t>
            </w:r>
            <w:r>
              <w:rPr>
                <w:rFonts w:ascii="宋体" w:hAnsi="宋体" w:eastAsia="宋体" w:cs="宋体"/>
                <w:color w:val="000000" w:themeColor="text1"/>
                <w:kern w:val="0"/>
                <w:sz w:val="20"/>
                <w:szCs w:val="20"/>
                <w14:textFill>
                  <w14:solidFill>
                    <w14:schemeClr w14:val="tx1"/>
                  </w14:solidFill>
                </w14:textFill>
              </w:rPr>
              <w:t>将予以解聘</w:t>
            </w:r>
            <w:r>
              <w:rPr>
                <w:rFonts w:hint="eastAsia" w:ascii="宋体" w:hAnsi="宋体" w:eastAsia="宋体" w:cs="宋体"/>
                <w:color w:val="000000" w:themeColor="text1"/>
                <w:kern w:val="0"/>
                <w:sz w:val="20"/>
                <w:szCs w:val="20"/>
                <w14:textFill>
                  <w14:solidFill>
                    <w14:schemeClr w14:val="tx1"/>
                  </w14:solidFill>
                </w14:textFill>
              </w:rPr>
              <w:t>。</w:t>
            </w:r>
          </w:p>
        </w:tc>
      </w:tr>
      <w:tr>
        <w:tblPrEx>
          <w:tblCellMar>
            <w:top w:w="0" w:type="dxa"/>
            <w:left w:w="108" w:type="dxa"/>
            <w:bottom w:w="0" w:type="dxa"/>
            <w:right w:w="108" w:type="dxa"/>
          </w:tblCellMar>
        </w:tblPrEx>
        <w:trPr>
          <w:trHeight w:val="720" w:hRule="atLeast"/>
          <w:jc w:val="center"/>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0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中心打包员</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kern w:val="0"/>
                <w:sz w:val="20"/>
                <w:szCs w:val="20"/>
              </w:rPr>
            </w:pPr>
            <w:r>
              <w:rPr>
                <w:rFonts w:ascii="Calibri" w:hAnsi="Calibri" w:eastAsia="宋体" w:cs="Calibri"/>
                <w:kern w:val="0"/>
                <w:sz w:val="20"/>
                <w:szCs w:val="20"/>
              </w:rPr>
              <w:t>2</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无</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高中及以上</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45周岁及以下</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负责打包、下收下送工作</w:t>
            </w:r>
          </w:p>
        </w:tc>
      </w:tr>
      <w:tr>
        <w:tblPrEx>
          <w:tblCellMar>
            <w:top w:w="0" w:type="dxa"/>
            <w:left w:w="108" w:type="dxa"/>
            <w:bottom w:w="0" w:type="dxa"/>
            <w:right w:w="108" w:type="dxa"/>
          </w:tblCellMar>
        </w:tblPrEx>
        <w:trPr>
          <w:trHeight w:val="870"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8</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非卫生类</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结算收费处</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收费员</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会计、计算机类专业</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中专及以上</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kern w:val="0"/>
                <w:sz w:val="20"/>
                <w:szCs w:val="20"/>
              </w:rPr>
            </w:pPr>
            <w:r>
              <w:rPr>
                <w:rFonts w:ascii="Calibri" w:hAnsi="Calibri" w:eastAsia="宋体" w:cs="Calibri"/>
                <w:kern w:val="0"/>
                <w:sz w:val="20"/>
                <w:szCs w:val="20"/>
              </w:rPr>
              <w:t>30</w:t>
            </w:r>
            <w:r>
              <w:rPr>
                <w:rFonts w:hint="eastAsia" w:ascii="宋体" w:hAnsi="宋体" w:eastAsia="宋体" w:cs="Calibri"/>
                <w:kern w:val="0"/>
                <w:sz w:val="20"/>
                <w:szCs w:val="20"/>
              </w:rPr>
              <w:t>周岁及以下</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熟练掌握计算机操作技能，具有在医疗卫生单位收费结算窗口工作经验的优先</w:t>
            </w:r>
          </w:p>
        </w:tc>
      </w:tr>
    </w:tbl>
    <w:p>
      <w:pPr>
        <w:pStyle w:val="4"/>
        <w:widowControl/>
        <w:spacing w:beforeAutospacing="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具有中华人民共和国国籍，遵守宪法和法律，具有良好的品行，岗位所需的专业或技能条件，适应岗位要求的身体条件。</w:t>
      </w:r>
    </w:p>
    <w:p>
      <w:pPr>
        <w:pStyle w:val="4"/>
        <w:widowControl/>
        <w:spacing w:beforeAutospacing="0" w:afterAutospacing="0" w:line="560" w:lineRule="exact"/>
        <w:ind w:firstLine="560"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应聘者户籍所在地不限，年龄要求：公开招聘中年龄要求的“</w:t>
      </w:r>
      <w:r>
        <w:rPr>
          <w:rFonts w:ascii="仿宋_GB2312" w:hAnsi="仿宋_GB2312" w:cs="仿宋_GB2312"/>
          <w:color w:val="000000" w:themeColor="text1"/>
          <w:sz w:val="28"/>
          <w:szCs w:val="28"/>
          <w14:textFill>
            <w14:solidFill>
              <w14:schemeClr w14:val="tx1"/>
            </w14:solidFill>
          </w14:textFill>
        </w:rPr>
        <w:t>25</w:t>
      </w:r>
      <w:r>
        <w:rPr>
          <w:rFonts w:hint="eastAsia" w:ascii="仿宋_GB2312" w:hAnsi="仿宋_GB2312" w:eastAsia="仿宋_GB2312" w:cs="仿宋_GB2312"/>
          <w:color w:val="000000" w:themeColor="text1"/>
          <w:sz w:val="28"/>
          <w:szCs w:val="28"/>
          <w14:textFill>
            <w14:solidFill>
              <w14:schemeClr w14:val="tx1"/>
            </w14:solidFill>
          </w14:textFill>
        </w:rPr>
        <w:t>周岁及以下”为“19</w:t>
      </w:r>
      <w:r>
        <w:rPr>
          <w:rFonts w:ascii="仿宋_GB2312" w:hAnsi="仿宋_GB2312" w:eastAsia="仿宋_GB2312" w:cs="仿宋_GB2312"/>
          <w:color w:val="000000" w:themeColor="text1"/>
          <w:sz w:val="28"/>
          <w:szCs w:val="28"/>
          <w14:textFill>
            <w14:solidFill>
              <w14:schemeClr w14:val="tx1"/>
            </w14:solidFill>
          </w14:textFill>
        </w:rPr>
        <w:t>98</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ascii="仿宋_GB2312" w:hAnsi="仿宋_GB2312" w:eastAsia="仿宋_GB2312" w:cs="仿宋_GB2312"/>
          <w:color w:val="000000" w:themeColor="text1"/>
          <w:sz w:val="28"/>
          <w:szCs w:val="28"/>
          <w14:textFill>
            <w14:solidFill>
              <w14:schemeClr w14:val="tx1"/>
            </w14:solidFill>
          </w14:textFill>
        </w:rPr>
        <w:t>27</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cs="仿宋_GB2312" w:asciiTheme="minorEastAsia" w:hAnsiTheme="minorEastAsia"/>
          <w:color w:val="000000" w:themeColor="text1"/>
          <w:sz w:val="28"/>
          <w:szCs w:val="28"/>
          <w14:textFill>
            <w14:solidFill>
              <w14:schemeClr w14:val="tx1"/>
            </w14:solidFill>
          </w14:textFill>
        </w:rPr>
        <w:t>（含）</w:t>
      </w:r>
      <w:r>
        <w:rPr>
          <w:rFonts w:hint="eastAsia" w:ascii="仿宋_GB2312" w:hAnsi="仿宋_GB2312" w:eastAsia="仿宋_GB2312" w:cs="仿宋_GB2312"/>
          <w:color w:val="000000" w:themeColor="text1"/>
          <w:sz w:val="28"/>
          <w:szCs w:val="28"/>
          <w14:textFill>
            <w14:solidFill>
              <w14:schemeClr w14:val="tx1"/>
            </w14:solidFill>
          </w14:textFill>
        </w:rPr>
        <w:t>后出生”（其他涉及年龄计算的依</w:t>
      </w:r>
      <w:r>
        <w:rPr>
          <w:rFonts w:hint="eastAsia" w:ascii="仿宋_GB2312" w:hAnsi="仿宋_GB2312" w:eastAsia="仿宋_GB2312" w:cs="仿宋_GB2312"/>
          <w:color w:val="000000" w:themeColor="text1"/>
          <w:sz w:val="28"/>
          <w:szCs w:val="28"/>
          <w:lang w:eastAsia="zh-CN"/>
          <w14:textFill>
            <w14:solidFill>
              <w14:schemeClr w14:val="tx1"/>
            </w14:solidFill>
          </w14:textFill>
        </w:rPr>
        <w:t>此</w:t>
      </w:r>
      <w:r>
        <w:rPr>
          <w:rFonts w:hint="eastAsia" w:ascii="仿宋_GB2312" w:hAnsi="仿宋_GB2312" w:eastAsia="仿宋_GB2312" w:cs="仿宋_GB2312"/>
          <w:color w:val="000000" w:themeColor="text1"/>
          <w:sz w:val="28"/>
          <w:szCs w:val="28"/>
          <w14:textFill>
            <w14:solidFill>
              <w14:schemeClr w14:val="tx1"/>
            </w14:solidFill>
          </w14:textFill>
        </w:rPr>
        <w:t>类推）。</w:t>
      </w:r>
    </w:p>
    <w:p>
      <w:pPr>
        <w:pStyle w:val="4"/>
        <w:widowControl/>
        <w:spacing w:beforeAutospacing="0" w:afterAutospacing="0" w:line="560" w:lineRule="exact"/>
        <w:ind w:firstLine="641" w:firstLineChars="228"/>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三、有下列情形之一的人员，不得报考：</w:t>
      </w:r>
    </w:p>
    <w:p>
      <w:pPr>
        <w:pStyle w:val="4"/>
        <w:widowControl/>
        <w:spacing w:beforeAutospacing="0" w:afterAutospacing="0" w:line="560" w:lineRule="exact"/>
        <w:ind w:firstLine="638" w:firstLineChars="228"/>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1、不符合招聘岗位条件要求的人员；</w:t>
      </w:r>
    </w:p>
    <w:p>
      <w:pPr>
        <w:pStyle w:val="4"/>
        <w:widowControl/>
        <w:spacing w:beforeAutospacing="0" w:afterAutospacing="0" w:line="560" w:lineRule="exact"/>
        <w:ind w:firstLine="638" w:firstLineChars="228"/>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2、现役军人；</w:t>
      </w:r>
    </w:p>
    <w:p>
      <w:pPr>
        <w:pStyle w:val="4"/>
        <w:widowControl/>
        <w:spacing w:beforeAutospacing="0" w:afterAutospacing="0" w:line="560" w:lineRule="exact"/>
        <w:ind w:firstLine="638" w:firstLineChars="228"/>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3、在读全日制普通高校学生（应届毕业生除外）；</w:t>
      </w:r>
    </w:p>
    <w:p>
      <w:pPr>
        <w:pStyle w:val="4"/>
        <w:widowControl/>
        <w:spacing w:beforeAutospacing="0" w:afterAutospacing="0" w:line="560" w:lineRule="exact"/>
        <w:ind w:firstLine="638" w:firstLineChars="228"/>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4、经人社部门认定具有考试违纪行为且在停考期内的人员；</w:t>
      </w:r>
    </w:p>
    <w:p>
      <w:pPr>
        <w:pStyle w:val="4"/>
        <w:widowControl/>
        <w:spacing w:beforeAutospacing="0" w:afterAutospacing="0" w:line="560" w:lineRule="exact"/>
        <w:ind w:firstLine="638" w:firstLineChars="228"/>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5、曾因犯罪受过刑事处罚的人员和曾被开除公职的人员、受到党纪政纪处分期限未满或者正在接受纪律审查的人员、处于刑事处罚期间或者正在接受司法调查尚未</w:t>
      </w:r>
      <w:r>
        <w:rPr>
          <w:rFonts w:hint="eastAsia" w:ascii="仿宋_GB2312" w:hAnsi="仿宋_GB2312" w:eastAsia="仿宋_GB2312" w:cs="仿宋_GB2312"/>
          <w:color w:val="000000"/>
          <w:sz w:val="28"/>
          <w:szCs w:val="28"/>
          <w:lang w:eastAsia="zh-CN"/>
        </w:rPr>
        <w:t>作出</w:t>
      </w:r>
      <w:r>
        <w:rPr>
          <w:rFonts w:hint="eastAsia" w:ascii="仿宋_GB2312" w:hAnsi="仿宋_GB2312" w:eastAsia="仿宋_GB2312" w:cs="仿宋_GB2312"/>
          <w:color w:val="000000"/>
          <w:sz w:val="28"/>
          <w:szCs w:val="28"/>
        </w:rPr>
        <w:t>结论的人员；</w:t>
      </w:r>
    </w:p>
    <w:p>
      <w:pPr>
        <w:pStyle w:val="4"/>
        <w:widowControl/>
        <w:spacing w:beforeAutospacing="0" w:afterAutospacing="0" w:line="560" w:lineRule="exact"/>
        <w:ind w:firstLine="638" w:firstLineChars="228"/>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lang w:eastAsia="zh-CN"/>
        </w:rPr>
        <w:t>法律法规</w:t>
      </w:r>
      <w:r>
        <w:rPr>
          <w:rFonts w:hint="eastAsia" w:ascii="仿宋_GB2312" w:hAnsi="仿宋_GB2312" w:eastAsia="仿宋_GB2312" w:cs="仿宋_GB2312"/>
          <w:color w:val="000000"/>
          <w:sz w:val="28"/>
          <w:szCs w:val="28"/>
        </w:rPr>
        <w:t>规定不得参加报考的其他情形人员。</w:t>
      </w:r>
    </w:p>
    <w:p>
      <w:pPr>
        <w:pStyle w:val="4"/>
        <w:widowControl/>
        <w:spacing w:beforeAutospacing="0" w:afterAutospacing="0" w:line="560" w:lineRule="exact"/>
        <w:ind w:firstLine="641" w:firstLineChars="228"/>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四、招聘程序及办法</w:t>
      </w:r>
    </w:p>
    <w:p>
      <w:pPr>
        <w:pStyle w:val="4"/>
        <w:widowControl/>
        <w:spacing w:beforeAutospacing="0" w:afterAutospacing="0" w:line="560" w:lineRule="exact"/>
        <w:ind w:firstLine="562" w:firstLineChars="200"/>
        <w:rPr>
          <w:rFonts w:hint="eastAsia" w:ascii="仿宋_GB2312" w:hAnsi="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（一）报名与资格审查</w:t>
      </w:r>
    </w:p>
    <w:p>
      <w:pPr>
        <w:pStyle w:val="4"/>
        <w:widowControl/>
        <w:spacing w:beforeAutospacing="0" w:afterAutospacing="0"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（1）报名时间：2024年2月</w:t>
      </w:r>
      <w:r>
        <w:rPr>
          <w:rFonts w:ascii="仿宋_GB2312" w:hAnsi="仿宋_GB2312" w:eastAsia="仿宋_GB2312" w:cs="仿宋_GB2312"/>
          <w:color w:val="000000" w:themeColor="text1"/>
          <w:sz w:val="28"/>
          <w:szCs w:val="28"/>
          <w14:textFill>
            <w14:solidFill>
              <w14:schemeClr w14:val="tx1"/>
            </w14:solidFill>
          </w14:textFill>
        </w:rPr>
        <w:t>27</w:t>
      </w:r>
      <w:r>
        <w:rPr>
          <w:rFonts w:hint="eastAsia" w:ascii="仿宋_GB2312" w:hAnsi="仿宋_GB2312" w:eastAsia="仿宋_GB2312" w:cs="仿宋_GB2312"/>
          <w:color w:val="000000" w:themeColor="text1"/>
          <w:sz w:val="28"/>
          <w:szCs w:val="28"/>
          <w14:textFill>
            <w14:solidFill>
              <w14:schemeClr w14:val="tx1"/>
            </w14:solidFill>
          </w14:textFill>
        </w:rPr>
        <w:t>日—2024年3月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日。</w:t>
      </w:r>
    </w:p>
    <w:p>
      <w:pPr>
        <w:pStyle w:val="4"/>
        <w:widowControl/>
        <w:spacing w:beforeAutospacing="0" w:afterAutospacing="0"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（2）报名方式：网络报名。应聘人员在仔细阅读本公告后，请点击链接：报名端地址：http://ah yd.ikaowu.com进行报名（法定假日期间正常接受报名）。</w:t>
      </w:r>
    </w:p>
    <w:p>
      <w:pPr>
        <w:pStyle w:val="4"/>
        <w:widowControl/>
        <w:spacing w:beforeAutospacing="0" w:afterAutospacing="0"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（3）报名材料：报考人员提交的报名信息应当真实、准确、有效，与身份证、户口簿、学历（学位）证书、专业技术资格证书、职（执）业资格证书等有关证件（证明）原件一致。</w:t>
      </w:r>
    </w:p>
    <w:p>
      <w:pPr>
        <w:pStyle w:val="4"/>
        <w:widowControl/>
        <w:spacing w:beforeAutospacing="0" w:afterAutospacing="0"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（4）资格初审：通过线上报名资料，对报考人员的条件资格予以初审，经资格初审符合报考条件的人员进入资格复审环节。</w:t>
      </w:r>
    </w:p>
    <w:p>
      <w:pPr>
        <w:pStyle w:val="4"/>
        <w:widowControl/>
        <w:spacing w:beforeAutospacing="0" w:afterAutospacing="0" w:line="560" w:lineRule="exact"/>
        <w:ind w:firstLine="638" w:firstLineChars="228"/>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资格复审：进入资格复审环节的应聘人员须在规定审核时间携带以下材料及证件的原件与复印件参加资格复审：《报名表》（网上报名系统打印后签字）、近期免冠1寸正面照、本人身份证、户口簿（集体户口人员提供经当地公安部门盖章后的集体户口簿首页和本人信息页复印件）、学历证书、学位证书（境外留学回国或国内合资办学颁发国外学历证书的人员，还需提供教育部中国留学服务中心出具的境外学历、学位认证书）、职称证书、获奖证书及其他能反映本人能力的材料等。资格复审具体时间、地点另行通知。</w:t>
      </w:r>
    </w:p>
    <w:p>
      <w:pPr>
        <w:pStyle w:val="4"/>
        <w:widowControl/>
        <w:spacing w:beforeAutospacing="0" w:afterAutospacing="0" w:line="560" w:lineRule="exact"/>
        <w:ind w:firstLine="638" w:firstLineChars="228"/>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现场资格复审通过人员，按省物价局皖价费</w:t>
      </w:r>
      <w:r>
        <w:rPr>
          <w:rFonts w:hint="eastAsia" w:ascii="仿宋_GB2312" w:hAnsi="仿宋_GB2312" w:eastAsia="仿宋_GB2312" w:cs="仿宋_GB2312"/>
          <w:color w:val="000000" w:themeColor="text1"/>
          <w:sz w:val="28"/>
          <w:szCs w:val="28"/>
          <w14:textFill>
            <w14:solidFill>
              <w14:schemeClr w14:val="tx1"/>
            </w14:solidFill>
          </w14:textFill>
        </w:rPr>
        <w:t>〔20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09</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118号文件规定缴纳面试费用80元。</w:t>
      </w:r>
      <w:bookmarkStart w:id="0" w:name="_GoBack"/>
      <w:bookmarkEnd w:id="0"/>
    </w:p>
    <w:p>
      <w:pPr>
        <w:pStyle w:val="4"/>
        <w:widowControl/>
        <w:spacing w:beforeAutospacing="0" w:afterAutospacing="0"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未在规定时间、地点内参加资格复审的，弄虚作假或虽通过资格审查但实际情况与报考条件规定不符的，一经查实即取消面试资格。 </w:t>
      </w:r>
    </w:p>
    <w:p>
      <w:pPr>
        <w:pStyle w:val="4"/>
        <w:widowControl/>
        <w:spacing w:beforeAutospacing="0" w:afterAutospacing="0" w:line="56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（二）选拔方式</w:t>
      </w:r>
    </w:p>
    <w:p>
      <w:pPr>
        <w:pStyle w:val="4"/>
        <w:widowControl/>
        <w:spacing w:beforeAutospacing="0" w:afterAutospacing="0"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采取标准化面试+考核考察的方式进行，主要考察报名人员的综合能力、专业知识等相关素质，面试具体时间及相关事项另行通知。</w:t>
      </w:r>
    </w:p>
    <w:p>
      <w:pPr>
        <w:pStyle w:val="4"/>
        <w:widowControl/>
        <w:spacing w:beforeAutospacing="0" w:afterAutospacing="0" w:line="560" w:lineRule="exact"/>
        <w:ind w:firstLine="641" w:firstLineChars="228"/>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（三）体检与考察</w:t>
      </w:r>
    </w:p>
    <w:p>
      <w:pPr>
        <w:pStyle w:val="4"/>
        <w:widowControl/>
        <w:spacing w:beforeAutospacing="0" w:afterAutospacing="0" w:line="56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体检工作参照省委组织部、省人力资源和社会保障厅、省卫生厅《关于进一步规范全省事业单位公开招聘人员体检工作的通知》</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皖人社秘〔2013〕208号</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等规定执行。体检费用由报考人员自理。</w:t>
      </w:r>
    </w:p>
    <w:p>
      <w:pPr>
        <w:pStyle w:val="4"/>
        <w:widowControl/>
        <w:spacing w:beforeAutospacing="0" w:afterAutospacing="0" w:line="56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考察工作根据拟聘用岗位的要求，全面考察对象的政治思想、道德品质、遵纪守法、在校成绩、业务能力、工作实绩以及是否需要回避等方面的情况，并对其报名资格条件进行复查核实，提供客观、</w:t>
      </w:r>
      <w:r>
        <w:rPr>
          <w:rFonts w:hint="eastAsia" w:ascii="仿宋_GB2312" w:hAnsi="仿宋_GB2312" w:eastAsia="仿宋_GB2312" w:cs="仿宋_GB2312"/>
          <w:color w:val="000000" w:themeColor="text1"/>
          <w:sz w:val="28"/>
          <w:szCs w:val="28"/>
          <w:lang w:eastAsia="zh-CN"/>
          <w14:textFill>
            <w14:solidFill>
              <w14:schemeClr w14:val="tx1"/>
            </w14:solidFill>
          </w14:textFill>
        </w:rPr>
        <w:t>翔实的</w:t>
      </w:r>
      <w:r>
        <w:rPr>
          <w:rFonts w:hint="eastAsia" w:ascii="仿宋_GB2312" w:hAnsi="仿宋_GB2312" w:eastAsia="仿宋_GB2312" w:cs="仿宋_GB2312"/>
          <w:color w:val="000000" w:themeColor="text1"/>
          <w:sz w:val="28"/>
          <w:szCs w:val="28"/>
          <w14:textFill>
            <w14:solidFill>
              <w14:schemeClr w14:val="tx1"/>
            </w14:solidFill>
          </w14:textFill>
        </w:rPr>
        <w:t>组织考察材料。</w:t>
      </w:r>
    </w:p>
    <w:p>
      <w:pPr>
        <w:pStyle w:val="4"/>
        <w:widowControl/>
        <w:spacing w:beforeAutospacing="0" w:afterAutospacing="0" w:line="56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对体检、考察出现缺额的，按照规定程序和时限，在同岗位报考面试人员中，按考试最终成绩从高分到低分依次等额递补，但不超过两次。</w:t>
      </w:r>
    </w:p>
    <w:p>
      <w:pPr>
        <w:pStyle w:val="4"/>
        <w:widowControl/>
        <w:spacing w:beforeAutospacing="0" w:afterAutospacing="0" w:line="56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五、用工形式</w:t>
      </w:r>
      <w:r>
        <w:rPr>
          <w:rFonts w:hint="eastAsia" w:ascii="仿宋_GB2312" w:hAnsi="仿宋_GB2312" w:eastAsia="仿宋_GB2312" w:cs="仿宋_GB2312"/>
          <w:color w:val="000000"/>
          <w:sz w:val="28"/>
          <w:szCs w:val="28"/>
        </w:rPr>
        <w:t>：派遣制用工。</w:t>
      </w:r>
    </w:p>
    <w:p>
      <w:pPr>
        <w:pStyle w:val="4"/>
        <w:widowControl/>
        <w:spacing w:beforeAutospacing="0" w:afterAutospacing="0"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六、待遇</w:t>
      </w:r>
    </w:p>
    <w:p>
      <w:pPr>
        <w:pStyle w:val="4"/>
        <w:widowControl/>
        <w:spacing w:beforeAutospacing="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1、基本待遇：</w:t>
      </w:r>
    </w:p>
    <w:p>
      <w:pPr>
        <w:pStyle w:val="4"/>
        <w:widowControl/>
        <w:spacing w:beforeAutospacing="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（1）实行试用期制度，执行试用期工资，试用期一般为1个月，</w:t>
      </w:r>
    </w:p>
    <w:p>
      <w:pPr>
        <w:pStyle w:val="4"/>
        <w:widowControl/>
        <w:spacing w:beforeAutospacing="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试用期工资1800元/月；</w:t>
      </w:r>
    </w:p>
    <w:p>
      <w:pPr>
        <w:pStyle w:val="4"/>
        <w:widowControl/>
        <w:spacing w:beforeAutospacing="0" w:afterAutospacing="0"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（2）试用期满后岗位工资：</w:t>
      </w:r>
    </w:p>
    <w:p>
      <w:pPr>
        <w:pStyle w:val="4"/>
        <w:widowControl/>
        <w:spacing w:beforeAutospacing="0" w:afterAutospacing="0" w:line="560" w:lineRule="exact"/>
        <w:ind w:firstLine="560" w:firstLineChars="200"/>
        <w:rPr>
          <w:rFonts w:ascii="仿宋_GB2312" w:hAnsi="仿宋_GB2312" w:eastAsia="仿宋_GB2312" w:cs="仿宋_GB2312"/>
          <w:color w:val="000000" w:themeColor="text1"/>
          <w:sz w:val="28"/>
          <w:szCs w:val="28"/>
          <w:shd w:val="clear" w:color="auto" w:fill="FFFFFF" w:themeFill="background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①专业技术（卫生类）岗位，</w:t>
      </w:r>
      <w:r>
        <w:rPr>
          <w:rFonts w:hint="eastAsia" w:ascii="仿宋_GB2312" w:hAnsi="仿宋_GB2312" w:eastAsia="仿宋_GB2312" w:cs="仿宋_GB2312"/>
          <w:color w:val="000000" w:themeColor="text1"/>
          <w:sz w:val="28"/>
          <w:szCs w:val="28"/>
          <w:shd w:val="clear" w:color="auto" w:fill="FFFFFF" w:themeFill="background1"/>
          <w14:textFill>
            <w14:solidFill>
              <w14:schemeClr w14:val="tx1"/>
            </w14:solidFill>
          </w14:textFill>
        </w:rPr>
        <w:t>无职称2000元/月，初级职称2500元/月，中级职称3000元/月；</w:t>
      </w:r>
    </w:p>
    <w:p>
      <w:pPr>
        <w:pStyle w:val="4"/>
        <w:widowControl/>
        <w:spacing w:beforeAutospacing="0" w:afterAutospacing="0"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②行政后勤（非卫生类）岗位工资2000元/月。</w:t>
      </w:r>
    </w:p>
    <w:p>
      <w:pPr>
        <w:pStyle w:val="4"/>
        <w:widowControl/>
        <w:spacing w:beforeAutospacing="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（3）每年年底进行年度考核，评定考核等次，对于评定为合格及以上等次的人员，每年增加一级工龄补贴，标准：50元/月。</w:t>
      </w:r>
    </w:p>
    <w:p>
      <w:pPr>
        <w:pStyle w:val="4"/>
        <w:widowControl/>
        <w:spacing w:beforeAutospacing="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（4）工作餐补助。</w:t>
      </w:r>
    </w:p>
    <w:p>
      <w:pPr>
        <w:pStyle w:val="4"/>
        <w:widowControl/>
        <w:spacing w:beforeAutospacing="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（5）参加工会会员的，享受一定节日福利。</w:t>
      </w:r>
    </w:p>
    <w:p>
      <w:pPr>
        <w:pStyle w:val="4"/>
        <w:widowControl/>
        <w:spacing w:beforeAutospacing="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2、工作绩效：</w:t>
      </w:r>
    </w:p>
    <w:p>
      <w:pPr>
        <w:pStyle w:val="4"/>
        <w:widowControl/>
        <w:spacing w:beforeAutospacing="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（1）试用期期间，不享受工作绩效。</w:t>
      </w:r>
    </w:p>
    <w:p>
      <w:pPr>
        <w:pStyle w:val="4"/>
        <w:widowControl/>
        <w:spacing w:beforeAutospacing="0" w:afterAutospacing="0"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（2）试用期满，经考核合格可享受一定的工作绩效。</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3、社会保险</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按蚌埠市有关规定办理社会保险参保缴费（包含养老保险、医疗保险、失业保险、工伤保险、生育保险）。</w:t>
      </w:r>
    </w:p>
    <w:p>
      <w:pPr>
        <w:pStyle w:val="4"/>
        <w:widowControl/>
        <w:spacing w:beforeAutospacing="0" w:afterAutospacing="0" w:line="560" w:lineRule="exact"/>
        <w:ind w:firstLine="560" w:firstLineChars="200"/>
        <w:rPr>
          <w:rFonts w:ascii="仿宋_GB2312" w:hAnsi="仿宋_GB2312" w:eastAsia="仿宋_GB2312" w:cs="仿宋_GB2312"/>
          <w:b/>
          <w:color w:val="000000"/>
          <w:sz w:val="28"/>
          <w:szCs w:val="28"/>
        </w:rPr>
      </w:pPr>
      <w:r>
        <w:rPr>
          <w:rFonts w:hint="eastAsia" w:ascii="微软雅黑" w:hAnsi="微软雅黑" w:eastAsia="微软雅黑" w:cs="微软雅黑"/>
          <w:b/>
          <w:color w:val="000000"/>
          <w:sz w:val="28"/>
          <w:szCs w:val="28"/>
        </w:rPr>
        <w:t>七</w:t>
      </w:r>
      <w:r>
        <w:rPr>
          <w:rFonts w:ascii="___WRD_EMBED_SUB_42" w:hAnsi="___WRD_EMBED_SUB_42" w:eastAsia="仿宋_GB2312" w:cs="___WRD_EMBED_SUB_42"/>
          <w:b/>
          <w:color w:val="000000"/>
          <w:sz w:val="28"/>
          <w:szCs w:val="28"/>
        </w:rPr>
        <w:t>、</w:t>
      </w:r>
      <w:r>
        <w:rPr>
          <w:rFonts w:hint="eastAsia" w:ascii="仿宋_GB2312" w:hAnsi="仿宋_GB2312" w:eastAsia="仿宋_GB2312" w:cs="仿宋_GB2312"/>
          <w:b/>
          <w:color w:val="000000"/>
          <w:sz w:val="28"/>
          <w:szCs w:val="28"/>
        </w:rPr>
        <w:t>报名</w:t>
      </w:r>
      <w:r>
        <w:rPr>
          <w:rFonts w:hint="eastAsia" w:ascii="微软雅黑" w:hAnsi="微软雅黑" w:eastAsia="微软雅黑" w:cs="微软雅黑"/>
          <w:b/>
          <w:color w:val="000000"/>
          <w:sz w:val="28"/>
          <w:szCs w:val="28"/>
        </w:rPr>
        <w:t>咨询电话</w:t>
      </w:r>
      <w:r>
        <w:rPr>
          <w:rFonts w:hint="eastAsia" w:ascii="___WRD_EMBED_SUB_42" w:hAnsi="___WRD_EMBED_SUB_42" w:eastAsia="___WRD_EMBED_SUB_42" w:cs="___WRD_EMBED_SUB_42"/>
          <w:b/>
          <w:color w:val="000000"/>
          <w:sz w:val="28"/>
          <w:szCs w:val="28"/>
        </w:rPr>
        <w:t>：</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1、工作日（每周一至周五）：0552-2566698（上午9：00-12：00；下午14：30-17：30）；</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2、非工作日（法定节假日）：黄老师18055220340。</w:t>
      </w:r>
    </w:p>
    <w:p>
      <w:pPr>
        <w:spacing w:line="360" w:lineRule="auto"/>
        <w:ind w:firstLine="480" w:firstLineChars="200"/>
        <w:jc w:val="righ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23547D-D14D-4BD5-9087-EF8C4581C0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0168A7-CF17-46C4-8D5D-10DC3EFA8DE2}"/>
  </w:font>
  <w:font w:name="方正小标宋_GBK">
    <w:panose1 w:val="03000509000000000000"/>
    <w:charset w:val="86"/>
    <w:family w:val="script"/>
    <w:pitch w:val="default"/>
    <w:sig w:usb0="00000001" w:usb1="080E0000" w:usb2="00000000" w:usb3="00000000" w:csb0="00040000" w:csb1="00000000"/>
    <w:embedRegular r:id="rId3" w:fontKey="{A74A26B5-711B-45B6-A55C-6C9A7D28DD40}"/>
  </w:font>
  <w:font w:name="仿宋_GB2312">
    <w:altName w:val="仿宋"/>
    <w:panose1 w:val="00000000000000000000"/>
    <w:charset w:val="86"/>
    <w:family w:val="auto"/>
    <w:pitch w:val="default"/>
    <w:sig w:usb0="00000000" w:usb1="00000000" w:usb2="00000000" w:usb3="00000000" w:csb0="00000000" w:csb1="00000000"/>
    <w:embedRegular r:id="rId4" w:fontKey="{70EBB3D8-E7C2-4EFD-83A4-175795E36B60}"/>
  </w:font>
  <w:font w:name="仿宋">
    <w:panose1 w:val="02010609060101010101"/>
    <w:charset w:val="86"/>
    <w:family w:val="modern"/>
    <w:pitch w:val="default"/>
    <w:sig w:usb0="800002BF" w:usb1="38CF7CFA" w:usb2="00000016" w:usb3="00000000" w:csb0="00040001" w:csb1="00000000"/>
    <w:embedRegular r:id="rId5" w:fontKey="{350528D9-55E0-4BC0-BFDF-34058AA8CFBE}"/>
  </w:font>
  <w:font w:name="微软雅黑">
    <w:panose1 w:val="020B0503020204020204"/>
    <w:charset w:val="86"/>
    <w:family w:val="swiss"/>
    <w:pitch w:val="default"/>
    <w:sig w:usb0="80000287" w:usb1="2ACF3C50" w:usb2="00000016" w:usb3="00000000" w:csb0="0004001F" w:csb1="00000000"/>
    <w:embedRegular r:id="rId6" w:fontKey="{0F5BD404-98D8-48AB-8419-4BBA11439F39}"/>
  </w:font>
  <w:font w:name="___WRD_EMBED_SUB_42">
    <w:panose1 w:val="02010609030101010101"/>
    <w:charset w:val="86"/>
    <w:family w:val="auto"/>
    <w:pitch w:val="default"/>
    <w:sig w:usb0="00000001" w:usb1="080E0000" w:usb2="00000000" w:usb3="00000000" w:csb0="00040000" w:csb1="00000000"/>
    <w:embedRegular r:id="rId7" w:fontKey="{86B60EB9-65F7-4F38-A702-65B214A3486B}"/>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NDhkZjhiNjA1YTY5OTMzZmZkNDQwYzIzOTE4NTkifQ=="/>
  </w:docVars>
  <w:rsids>
    <w:rsidRoot w:val="00882C8F"/>
    <w:rsid w:val="000148D2"/>
    <w:rsid w:val="00076C15"/>
    <w:rsid w:val="00087525"/>
    <w:rsid w:val="00095318"/>
    <w:rsid w:val="000E7F42"/>
    <w:rsid w:val="001A785D"/>
    <w:rsid w:val="001B0624"/>
    <w:rsid w:val="001C0CA0"/>
    <w:rsid w:val="002422EC"/>
    <w:rsid w:val="00276B5C"/>
    <w:rsid w:val="0032462F"/>
    <w:rsid w:val="00334CC8"/>
    <w:rsid w:val="0037489F"/>
    <w:rsid w:val="004C6A60"/>
    <w:rsid w:val="00692CCE"/>
    <w:rsid w:val="006C2E7E"/>
    <w:rsid w:val="006D04E7"/>
    <w:rsid w:val="006F1C25"/>
    <w:rsid w:val="006F4037"/>
    <w:rsid w:val="00804515"/>
    <w:rsid w:val="00816E71"/>
    <w:rsid w:val="00867BD0"/>
    <w:rsid w:val="00882C8F"/>
    <w:rsid w:val="008D39C6"/>
    <w:rsid w:val="009E72DF"/>
    <w:rsid w:val="00A23ADD"/>
    <w:rsid w:val="00A54B0C"/>
    <w:rsid w:val="00A94FA1"/>
    <w:rsid w:val="00AC28AD"/>
    <w:rsid w:val="00B04437"/>
    <w:rsid w:val="00B90E6D"/>
    <w:rsid w:val="00BE2892"/>
    <w:rsid w:val="00BE6C00"/>
    <w:rsid w:val="00C40A24"/>
    <w:rsid w:val="00CF3A77"/>
    <w:rsid w:val="00D40C62"/>
    <w:rsid w:val="00D90B6B"/>
    <w:rsid w:val="00E224FE"/>
    <w:rsid w:val="00E316E5"/>
    <w:rsid w:val="00E6284A"/>
    <w:rsid w:val="00EA6074"/>
    <w:rsid w:val="00FC3E1B"/>
    <w:rsid w:val="010A06C2"/>
    <w:rsid w:val="01922277"/>
    <w:rsid w:val="01C91153"/>
    <w:rsid w:val="01FC292F"/>
    <w:rsid w:val="02FE031F"/>
    <w:rsid w:val="0350779F"/>
    <w:rsid w:val="03545B76"/>
    <w:rsid w:val="03561F09"/>
    <w:rsid w:val="03724869"/>
    <w:rsid w:val="05584C35"/>
    <w:rsid w:val="06A71F32"/>
    <w:rsid w:val="07D0284F"/>
    <w:rsid w:val="097035F9"/>
    <w:rsid w:val="0A571F86"/>
    <w:rsid w:val="0B855420"/>
    <w:rsid w:val="0BBA6DAD"/>
    <w:rsid w:val="0BE1221F"/>
    <w:rsid w:val="0D63765B"/>
    <w:rsid w:val="0E643A7A"/>
    <w:rsid w:val="0EE6024F"/>
    <w:rsid w:val="0F7B4186"/>
    <w:rsid w:val="12D60502"/>
    <w:rsid w:val="13394A5B"/>
    <w:rsid w:val="135031D8"/>
    <w:rsid w:val="13BF1404"/>
    <w:rsid w:val="14AF7CBF"/>
    <w:rsid w:val="14FE7D0A"/>
    <w:rsid w:val="157955E3"/>
    <w:rsid w:val="1594066F"/>
    <w:rsid w:val="173C37D2"/>
    <w:rsid w:val="1764254C"/>
    <w:rsid w:val="17D35CA1"/>
    <w:rsid w:val="186B3909"/>
    <w:rsid w:val="192059DA"/>
    <w:rsid w:val="1CA93DC3"/>
    <w:rsid w:val="1CF10D17"/>
    <w:rsid w:val="1D061E52"/>
    <w:rsid w:val="1D13456F"/>
    <w:rsid w:val="1D424ACE"/>
    <w:rsid w:val="1D6C58B7"/>
    <w:rsid w:val="1DBE097F"/>
    <w:rsid w:val="1E081BFA"/>
    <w:rsid w:val="1E3649B9"/>
    <w:rsid w:val="1E3D18A3"/>
    <w:rsid w:val="1FA23996"/>
    <w:rsid w:val="1FA83089"/>
    <w:rsid w:val="22145011"/>
    <w:rsid w:val="238816BA"/>
    <w:rsid w:val="251175E6"/>
    <w:rsid w:val="26440F30"/>
    <w:rsid w:val="268D7E7B"/>
    <w:rsid w:val="26D9515D"/>
    <w:rsid w:val="289C366A"/>
    <w:rsid w:val="2A53244F"/>
    <w:rsid w:val="2BA54F2C"/>
    <w:rsid w:val="2C3E5524"/>
    <w:rsid w:val="2C956D4E"/>
    <w:rsid w:val="2D5E06EE"/>
    <w:rsid w:val="2EB07E70"/>
    <w:rsid w:val="2F234AE5"/>
    <w:rsid w:val="304B42F4"/>
    <w:rsid w:val="333948D8"/>
    <w:rsid w:val="34AC5582"/>
    <w:rsid w:val="356D6ABA"/>
    <w:rsid w:val="357F3C47"/>
    <w:rsid w:val="358C31E4"/>
    <w:rsid w:val="3634327D"/>
    <w:rsid w:val="380354B4"/>
    <w:rsid w:val="3810197F"/>
    <w:rsid w:val="38EB5626"/>
    <w:rsid w:val="391B4A7F"/>
    <w:rsid w:val="3ABC7B9C"/>
    <w:rsid w:val="3B893F22"/>
    <w:rsid w:val="3BD53828"/>
    <w:rsid w:val="3C011D0B"/>
    <w:rsid w:val="3D2A1A1D"/>
    <w:rsid w:val="3D403050"/>
    <w:rsid w:val="3D51281E"/>
    <w:rsid w:val="3E58107F"/>
    <w:rsid w:val="3EB06BEC"/>
    <w:rsid w:val="3EB76A3C"/>
    <w:rsid w:val="3F5416F5"/>
    <w:rsid w:val="40DA6FCE"/>
    <w:rsid w:val="41524DB6"/>
    <w:rsid w:val="42E67EAC"/>
    <w:rsid w:val="432D7889"/>
    <w:rsid w:val="434F0614"/>
    <w:rsid w:val="436112E1"/>
    <w:rsid w:val="44397963"/>
    <w:rsid w:val="454838C2"/>
    <w:rsid w:val="45F20916"/>
    <w:rsid w:val="46EB3CE3"/>
    <w:rsid w:val="4758476B"/>
    <w:rsid w:val="477C7B0A"/>
    <w:rsid w:val="483D2A3F"/>
    <w:rsid w:val="487126C6"/>
    <w:rsid w:val="48B1725B"/>
    <w:rsid w:val="49A95730"/>
    <w:rsid w:val="49AB4594"/>
    <w:rsid w:val="4A45195C"/>
    <w:rsid w:val="4B104882"/>
    <w:rsid w:val="4B412124"/>
    <w:rsid w:val="4B730369"/>
    <w:rsid w:val="4CDB4C8C"/>
    <w:rsid w:val="4DD46AF6"/>
    <w:rsid w:val="4E5B79A0"/>
    <w:rsid w:val="4E8C5DAC"/>
    <w:rsid w:val="50852AB2"/>
    <w:rsid w:val="50D94BAC"/>
    <w:rsid w:val="51E23F34"/>
    <w:rsid w:val="52310016"/>
    <w:rsid w:val="5272350A"/>
    <w:rsid w:val="52AD1089"/>
    <w:rsid w:val="52DE4AD2"/>
    <w:rsid w:val="5338205E"/>
    <w:rsid w:val="53711ABC"/>
    <w:rsid w:val="53CE4770"/>
    <w:rsid w:val="54B24092"/>
    <w:rsid w:val="55111820"/>
    <w:rsid w:val="55CB7E3F"/>
    <w:rsid w:val="56B948C3"/>
    <w:rsid w:val="57D52B76"/>
    <w:rsid w:val="57F66044"/>
    <w:rsid w:val="5AD14B46"/>
    <w:rsid w:val="5B12089B"/>
    <w:rsid w:val="5C8C4103"/>
    <w:rsid w:val="5C8E01AF"/>
    <w:rsid w:val="5E3F16B2"/>
    <w:rsid w:val="5E47584B"/>
    <w:rsid w:val="5EC6284C"/>
    <w:rsid w:val="5EF16C40"/>
    <w:rsid w:val="5F0E45BB"/>
    <w:rsid w:val="5F893C41"/>
    <w:rsid w:val="626B7569"/>
    <w:rsid w:val="628143A9"/>
    <w:rsid w:val="6343504D"/>
    <w:rsid w:val="63711334"/>
    <w:rsid w:val="6401649C"/>
    <w:rsid w:val="65F91B21"/>
    <w:rsid w:val="660243EA"/>
    <w:rsid w:val="679C2FC3"/>
    <w:rsid w:val="6A116D0D"/>
    <w:rsid w:val="6B0625EA"/>
    <w:rsid w:val="6B3B0E1D"/>
    <w:rsid w:val="6C8E0AE9"/>
    <w:rsid w:val="6CC8224D"/>
    <w:rsid w:val="6CF52916"/>
    <w:rsid w:val="6D3D3476"/>
    <w:rsid w:val="6EB0547A"/>
    <w:rsid w:val="71EB6614"/>
    <w:rsid w:val="725D42D9"/>
    <w:rsid w:val="73092C77"/>
    <w:rsid w:val="735A001C"/>
    <w:rsid w:val="73DC65DE"/>
    <w:rsid w:val="73EB4CA1"/>
    <w:rsid w:val="74E64FE5"/>
    <w:rsid w:val="770A4B89"/>
    <w:rsid w:val="77327474"/>
    <w:rsid w:val="787E7C64"/>
    <w:rsid w:val="78A8569E"/>
    <w:rsid w:val="78AC47D1"/>
    <w:rsid w:val="78DE0702"/>
    <w:rsid w:val="79112886"/>
    <w:rsid w:val="7AC027B5"/>
    <w:rsid w:val="7B024B7C"/>
    <w:rsid w:val="7CAC1243"/>
    <w:rsid w:val="7D6531A0"/>
    <w:rsid w:val="7E2D1F10"/>
    <w:rsid w:val="7E5971A9"/>
    <w:rsid w:val="7F9B7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autoRedefine/>
    <w:qFormat/>
    <w:uiPriority w:val="0"/>
    <w:rPr>
      <w:color w:val="0000FF"/>
      <w:u w:val="single"/>
    </w:rPr>
  </w:style>
  <w:style w:type="character" w:customStyle="1" w:styleId="9">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392</Words>
  <Characters>2238</Characters>
  <Lines>18</Lines>
  <Paragraphs>5</Paragraphs>
  <TotalTime>2</TotalTime>
  <ScaleCrop>false</ScaleCrop>
  <LinksUpToDate>false</LinksUpToDate>
  <CharactersWithSpaces>2625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2023-04-05T02:43:00Z</dcterms:created>
  <dc:creator>严雪旸</dc:creator>
  <cp:lastModifiedBy>面沉如水</cp:lastModifiedBy>
  <dcterms:modified xsi:type="dcterms:W3CDTF">2024-02-27T00:54:37Z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FE7C93D010F44893938E0E6DDAE3507C_13</vt:lpwstr>
  </property>
</Properties>
</file>